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C3" w:rsidRPr="007848C3" w:rsidRDefault="007848C3" w:rsidP="007848C3">
      <w:pPr>
        <w:spacing w:before="100" w:beforeAutospacing="1" w:after="100" w:afterAutospacing="1"/>
        <w:outlineLvl w:val="0"/>
        <w:rPr>
          <w:rFonts w:ascii="Times New Roman" w:eastAsia="Times New Roman" w:hAnsi="Times New Roman" w:cs="Times New Roman"/>
          <w:b/>
          <w:bCs/>
          <w:kern w:val="36"/>
          <w:sz w:val="48"/>
          <w:szCs w:val="48"/>
          <w:lang w:eastAsia="cs-CZ"/>
        </w:rPr>
      </w:pPr>
      <w:r w:rsidRPr="007848C3">
        <w:rPr>
          <w:rFonts w:ascii="Times New Roman" w:eastAsia="Times New Roman" w:hAnsi="Times New Roman" w:cs="Times New Roman"/>
          <w:b/>
          <w:bCs/>
          <w:kern w:val="36"/>
          <w:sz w:val="48"/>
          <w:szCs w:val="48"/>
          <w:lang w:eastAsia="cs-CZ"/>
        </w:rPr>
        <w:t>Vymáhání pohledávek</w:t>
      </w:r>
    </w:p>
    <w:p w:rsidR="007848C3" w:rsidRPr="007848C3" w:rsidRDefault="007848C3" w:rsidP="007848C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t>Způsoby provedení exekuce</w:t>
      </w:r>
    </w:p>
    <w:p w:rsidR="007848C3" w:rsidRPr="007848C3" w:rsidRDefault="00382F2B" w:rsidP="007848C3">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Exekuce lze</w:t>
      </w:r>
      <w:r w:rsidR="007848C3" w:rsidRPr="007848C3">
        <w:rPr>
          <w:rFonts w:ascii="Times New Roman" w:eastAsia="Times New Roman" w:hAnsi="Times New Roman" w:cs="Times New Roman"/>
          <w:sz w:val="24"/>
          <w:szCs w:val="24"/>
          <w:lang w:eastAsia="cs-CZ"/>
        </w:rPr>
        <w:t xml:space="preserve"> prov</w:t>
      </w:r>
      <w:r>
        <w:rPr>
          <w:rFonts w:ascii="Times New Roman" w:eastAsia="Times New Roman" w:hAnsi="Times New Roman" w:cs="Times New Roman"/>
          <w:sz w:val="24"/>
          <w:szCs w:val="24"/>
          <w:lang w:eastAsia="cs-CZ"/>
        </w:rPr>
        <w:t>ést jen</w:t>
      </w:r>
      <w:r w:rsidR="007848C3" w:rsidRPr="007848C3">
        <w:rPr>
          <w:rFonts w:ascii="Times New Roman" w:eastAsia="Times New Roman" w:hAnsi="Times New Roman" w:cs="Times New Roman"/>
          <w:sz w:val="24"/>
          <w:szCs w:val="24"/>
          <w:lang w:eastAsia="cs-CZ"/>
        </w:rPr>
        <w:t xml:space="preserve"> způsoby uvedenými v exekučním řádu, přiče</w:t>
      </w:r>
      <w:r>
        <w:rPr>
          <w:rFonts w:ascii="Times New Roman" w:eastAsia="Times New Roman" w:hAnsi="Times New Roman" w:cs="Times New Roman"/>
          <w:sz w:val="24"/>
          <w:szCs w:val="24"/>
          <w:lang w:eastAsia="cs-CZ"/>
        </w:rPr>
        <w:t>mž způsob provedení exekuce určuje</w:t>
      </w:r>
      <w:r w:rsidR="007848C3" w:rsidRPr="007848C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exekutor</w:t>
      </w:r>
      <w:r w:rsidR="007848C3" w:rsidRPr="007848C3">
        <w:rPr>
          <w:rFonts w:ascii="Times New Roman" w:eastAsia="Times New Roman" w:hAnsi="Times New Roman" w:cs="Times New Roman"/>
          <w:sz w:val="24"/>
          <w:szCs w:val="24"/>
          <w:lang w:eastAsia="cs-CZ"/>
        </w:rPr>
        <w:t xml:space="preserve"> (exekuci je možné provádět více způsoby a to postupně nebo najednou). Výčet způsobů provedení exekuce je uveden v § 59 zák. č. 120/2001 Sb. (exekuční řád). Dle typu pohledávky rozlišujeme následující způsoby provedení exekuce:</w:t>
      </w:r>
    </w:p>
    <w:p w:rsidR="007848C3" w:rsidRPr="007848C3" w:rsidRDefault="007848C3" w:rsidP="007848C3">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b/>
          <w:bCs/>
          <w:sz w:val="24"/>
          <w:szCs w:val="24"/>
          <w:lang w:eastAsia="cs-CZ"/>
        </w:rPr>
        <w:t xml:space="preserve">peněžitou pohledávku </w:t>
      </w:r>
      <w:r w:rsidRPr="007848C3">
        <w:rPr>
          <w:rFonts w:ascii="Times New Roman" w:eastAsia="Times New Roman" w:hAnsi="Times New Roman" w:cs="Times New Roman"/>
          <w:sz w:val="24"/>
          <w:szCs w:val="24"/>
          <w:lang w:eastAsia="cs-CZ"/>
        </w:rPr>
        <w:t xml:space="preserve">lze uspokojit </w:t>
      </w:r>
    </w:p>
    <w:p w:rsidR="007848C3" w:rsidRP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srážkami ze mzdy a jiných příjmů povinného nebo manžela povinného</w:t>
      </w:r>
    </w:p>
    <w:p w:rsidR="007848C3" w:rsidRP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přikázáním pohledávky povinného nebo manžela povinného</w:t>
      </w:r>
    </w:p>
    <w:p w:rsidR="007848C3" w:rsidRP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xml:space="preserve">prodejem movitých </w:t>
      </w:r>
      <w:r w:rsidR="00382F2B">
        <w:rPr>
          <w:rFonts w:ascii="Times New Roman" w:eastAsia="Times New Roman" w:hAnsi="Times New Roman" w:cs="Times New Roman"/>
          <w:sz w:val="24"/>
          <w:szCs w:val="24"/>
          <w:lang w:eastAsia="cs-CZ"/>
        </w:rPr>
        <w:t>a nemovitých věcí</w:t>
      </w:r>
    </w:p>
    <w:p w:rsid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xml:space="preserve">postižením </w:t>
      </w:r>
      <w:r w:rsidR="00382F2B">
        <w:rPr>
          <w:rFonts w:ascii="Times New Roman" w:eastAsia="Times New Roman" w:hAnsi="Times New Roman" w:cs="Times New Roman"/>
          <w:sz w:val="24"/>
          <w:szCs w:val="24"/>
          <w:lang w:eastAsia="cs-CZ"/>
        </w:rPr>
        <w:t>závodu</w:t>
      </w:r>
    </w:p>
    <w:p w:rsidR="00382F2B" w:rsidRPr="007848C3" w:rsidRDefault="00382F2B"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pozastavením řidičského oprávnění</w:t>
      </w:r>
    </w:p>
    <w:p w:rsid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správou nemovit</w:t>
      </w:r>
      <w:r w:rsidR="00382F2B">
        <w:rPr>
          <w:rFonts w:ascii="Times New Roman" w:eastAsia="Times New Roman" w:hAnsi="Times New Roman" w:cs="Times New Roman"/>
          <w:sz w:val="24"/>
          <w:szCs w:val="24"/>
          <w:lang w:eastAsia="cs-CZ"/>
        </w:rPr>
        <w:t>é věci</w:t>
      </w:r>
    </w:p>
    <w:p w:rsidR="009A16A3" w:rsidRPr="007848C3" w:rsidRDefault="009A16A3" w:rsidP="009A16A3">
      <w:pPr>
        <w:spacing w:before="100" w:beforeAutospacing="1" w:after="100" w:afterAutospacing="1"/>
        <w:ind w:left="1440"/>
        <w:rPr>
          <w:rFonts w:ascii="Times New Roman" w:eastAsia="Times New Roman" w:hAnsi="Times New Roman" w:cs="Times New Roman"/>
          <w:sz w:val="24"/>
          <w:szCs w:val="24"/>
          <w:lang w:eastAsia="cs-CZ"/>
        </w:rPr>
      </w:pPr>
    </w:p>
    <w:p w:rsidR="007848C3" w:rsidRPr="007848C3" w:rsidRDefault="007848C3" w:rsidP="007848C3">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b/>
          <w:bCs/>
          <w:sz w:val="24"/>
          <w:szCs w:val="24"/>
          <w:lang w:eastAsia="cs-CZ"/>
        </w:rPr>
        <w:t xml:space="preserve">nepeněžitou pohledávku </w:t>
      </w:r>
      <w:r w:rsidRPr="007848C3">
        <w:rPr>
          <w:rFonts w:ascii="Times New Roman" w:eastAsia="Times New Roman" w:hAnsi="Times New Roman" w:cs="Times New Roman"/>
          <w:sz w:val="24"/>
          <w:szCs w:val="24"/>
          <w:lang w:eastAsia="cs-CZ"/>
        </w:rPr>
        <w:t xml:space="preserve">lze uspokojit </w:t>
      </w:r>
    </w:p>
    <w:p w:rsidR="007848C3" w:rsidRP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vyklizením</w:t>
      </w:r>
    </w:p>
    <w:p w:rsidR="007848C3" w:rsidRP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odebráním věci</w:t>
      </w:r>
    </w:p>
    <w:p w:rsidR="007848C3" w:rsidRP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rozdělením společné věci</w:t>
      </w:r>
    </w:p>
    <w:p w:rsidR="007848C3" w:rsidRPr="007848C3" w:rsidRDefault="007848C3" w:rsidP="007848C3">
      <w:pPr>
        <w:numPr>
          <w:ilvl w:val="1"/>
          <w:numId w:val="1"/>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provedením prací a výkonů</w:t>
      </w:r>
    </w:p>
    <w:p w:rsidR="009A16A3" w:rsidRDefault="009A16A3" w:rsidP="007848C3">
      <w:pPr>
        <w:spacing w:before="100" w:beforeAutospacing="1" w:after="100" w:afterAutospacing="1"/>
        <w:outlineLvl w:val="1"/>
        <w:rPr>
          <w:rFonts w:ascii="Times New Roman" w:eastAsia="Times New Roman" w:hAnsi="Times New Roman" w:cs="Times New Roman"/>
          <w:b/>
          <w:bCs/>
          <w:sz w:val="36"/>
          <w:szCs w:val="36"/>
          <w:lang w:eastAsia="cs-CZ"/>
        </w:rPr>
      </w:pPr>
    </w:p>
    <w:p w:rsidR="007848C3" w:rsidRPr="007848C3" w:rsidRDefault="007848C3" w:rsidP="007848C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t>Exekuční tituly</w:t>
      </w:r>
    </w:p>
    <w:p w:rsidR="007848C3" w:rsidRPr="007848C3" w:rsidRDefault="007848C3" w:rsidP="007848C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Exekuční řízení se zahajuje na návrh oprávněného. Předpokladem úspěšného nařízení exekuce je doložení originálu nebo úředně ověřené kopie exekučního titulu opatřeného potvrzením o vykonatelnosti, kterým oprávněný prokazuje právní nárok, který má vůči povinnému a který má být v rámci exekučního řízení uspokojen, jelikož povinnost jím stanovená nebyla povinným splněna dobrovolně. Exekučním titulem je dle § 40 exekučního řádu:</w:t>
      </w:r>
    </w:p>
    <w:p w:rsidR="007848C3" w:rsidRPr="007848C3" w:rsidRDefault="007848C3" w:rsidP="007848C3">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vykonatelné rozhodnutí soudu nebo exekutora, pokud přiznává právo, zavazuje k povinnosti nebo postihuje majetek,</w:t>
      </w:r>
    </w:p>
    <w:p w:rsidR="007848C3" w:rsidRPr="007848C3" w:rsidRDefault="007848C3" w:rsidP="007848C3">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vykonatelné rozhodnutí soudu a jiného orgánu činného v trestním řízení, pokud přiznává právo nebo postihuje majetek,</w:t>
      </w:r>
    </w:p>
    <w:p w:rsidR="007848C3" w:rsidRPr="007848C3" w:rsidRDefault="007848C3" w:rsidP="007848C3">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vykonatelný rozhodčí nález,</w:t>
      </w:r>
    </w:p>
    <w:p w:rsidR="007848C3" w:rsidRPr="007848C3" w:rsidRDefault="007848C3" w:rsidP="007848C3">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notářský zápis se svolením k vykonatelnosti sepsaný podle zvláštního právního předpisu (§ 71a – 71c zákona č. 358/1992 Sb., notářský řád) nebo exekutorský zápis podle § 78 písm. a) exekučního řádu,</w:t>
      </w:r>
    </w:p>
    <w:p w:rsidR="007848C3" w:rsidRPr="007848C3" w:rsidRDefault="007848C3" w:rsidP="007848C3">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vykonatelné rozhodnutí orgánu veřejné správy včetně platebních výměrů, výkazů, nedoplatků ve věcech daní a poplatků a jiných rozhodnutí, jakož i vykonatelný smír,</w:t>
      </w:r>
    </w:p>
    <w:p w:rsidR="007848C3" w:rsidRPr="007848C3" w:rsidRDefault="007848C3" w:rsidP="007848C3">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vykonatelné rozhodnutí a výkaz nedoplatku ve věcech nemocenského pojištění a sociálního zabezpečení,</w:t>
      </w:r>
    </w:p>
    <w:p w:rsidR="007848C3" w:rsidRPr="007848C3" w:rsidRDefault="007848C3" w:rsidP="007848C3">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jiná vykonatelná rozhodnutí a schválené smíry a listiny, jejichž výkon připouští zákon.</w:t>
      </w:r>
    </w:p>
    <w:p w:rsidR="007848C3" w:rsidRPr="007848C3" w:rsidRDefault="007848C3" w:rsidP="009A16A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lastRenderedPageBreak/>
        <w:t xml:space="preserve">Postup </w:t>
      </w:r>
    </w:p>
    <w:p w:rsidR="007848C3" w:rsidRPr="007848C3" w:rsidRDefault="007848C3" w:rsidP="009A16A3">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b/>
          <w:bCs/>
          <w:sz w:val="24"/>
          <w:szCs w:val="24"/>
          <w:lang w:eastAsia="cs-CZ"/>
        </w:rPr>
        <w:t>Exekuční návrh</w:t>
      </w:r>
      <w:r w:rsidRPr="007848C3">
        <w:rPr>
          <w:rFonts w:ascii="Times New Roman" w:eastAsia="Times New Roman" w:hAnsi="Times New Roman" w:cs="Times New Roman"/>
          <w:sz w:val="24"/>
          <w:szCs w:val="24"/>
          <w:lang w:eastAsia="cs-CZ"/>
        </w:rPr>
        <w:t xml:space="preserve"> – exekuční řízení je zahájeno dnem, kdy exekuční návrh oprávněného došel soudnímu exekutorovi. Od tohoto okamžiku není možné, aby bylo pro stejný nárok zahájeno nebo probíhalo jiné exekuční řízení (překážka litispendence). Náležitosti exekučního návrhu jsou stanoveny v § 38 exekučního řádu. Návrh Vám může v rámci další činnosti zpracovat i soudní exekutor.</w:t>
      </w:r>
    </w:p>
    <w:p w:rsidR="007848C3" w:rsidRPr="007848C3" w:rsidRDefault="007848C3" w:rsidP="009A16A3">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b/>
          <w:bCs/>
          <w:sz w:val="24"/>
          <w:szCs w:val="24"/>
          <w:lang w:eastAsia="cs-CZ"/>
        </w:rPr>
        <w:t xml:space="preserve">Nařízení exekuce </w:t>
      </w:r>
      <w:r w:rsidRPr="007848C3">
        <w:rPr>
          <w:rFonts w:ascii="Times New Roman" w:eastAsia="Times New Roman" w:hAnsi="Times New Roman" w:cs="Times New Roman"/>
          <w:sz w:val="24"/>
          <w:szCs w:val="24"/>
          <w:lang w:eastAsia="cs-CZ"/>
        </w:rPr>
        <w:t>- obsahuje-li exekuční návrh všechny předmětné náležitosti, soudní exekutor jej zašle spolu s žádostí o pověření a nařízení exekuce příslušnému exekučnímu soudu. Poté, co soudní exekut</w:t>
      </w:r>
      <w:r w:rsidR="009A16A3">
        <w:rPr>
          <w:rFonts w:ascii="Times New Roman" w:eastAsia="Times New Roman" w:hAnsi="Times New Roman" w:cs="Times New Roman"/>
          <w:sz w:val="24"/>
          <w:szCs w:val="24"/>
          <w:lang w:eastAsia="cs-CZ"/>
        </w:rPr>
        <w:t>o</w:t>
      </w:r>
      <w:r w:rsidRPr="007848C3">
        <w:rPr>
          <w:rFonts w:ascii="Times New Roman" w:eastAsia="Times New Roman" w:hAnsi="Times New Roman" w:cs="Times New Roman"/>
          <w:sz w:val="24"/>
          <w:szCs w:val="24"/>
          <w:lang w:eastAsia="cs-CZ"/>
        </w:rPr>
        <w:t>r dané pověření obdrží</w:t>
      </w:r>
      <w:r w:rsidR="009A16A3">
        <w:rPr>
          <w:rFonts w:ascii="Times New Roman" w:eastAsia="Times New Roman" w:hAnsi="Times New Roman" w:cs="Times New Roman"/>
          <w:sz w:val="24"/>
          <w:szCs w:val="24"/>
          <w:lang w:eastAsia="cs-CZ"/>
        </w:rPr>
        <w:t>,</w:t>
      </w:r>
      <w:r w:rsidRPr="007848C3">
        <w:rPr>
          <w:rFonts w:ascii="Times New Roman" w:eastAsia="Times New Roman" w:hAnsi="Times New Roman" w:cs="Times New Roman"/>
          <w:sz w:val="24"/>
          <w:szCs w:val="24"/>
          <w:lang w:eastAsia="cs-CZ"/>
        </w:rPr>
        <w:t xml:space="preserve"> může začít s prováděním exekuce.</w:t>
      </w:r>
    </w:p>
    <w:p w:rsidR="007848C3" w:rsidRPr="007848C3" w:rsidRDefault="007848C3" w:rsidP="009A16A3">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b/>
          <w:bCs/>
          <w:sz w:val="24"/>
          <w:szCs w:val="24"/>
          <w:lang w:eastAsia="cs-CZ"/>
        </w:rPr>
        <w:t xml:space="preserve">Generální </w:t>
      </w:r>
      <w:proofErr w:type="spellStart"/>
      <w:r w:rsidRPr="007848C3">
        <w:rPr>
          <w:rFonts w:ascii="Times New Roman" w:eastAsia="Times New Roman" w:hAnsi="Times New Roman" w:cs="Times New Roman"/>
          <w:b/>
          <w:bCs/>
          <w:sz w:val="24"/>
          <w:szCs w:val="24"/>
          <w:lang w:eastAsia="cs-CZ"/>
        </w:rPr>
        <w:t>inhibitorium</w:t>
      </w:r>
      <w:proofErr w:type="spellEnd"/>
      <w:r w:rsidRPr="007848C3">
        <w:rPr>
          <w:rFonts w:ascii="Times New Roman" w:eastAsia="Times New Roman" w:hAnsi="Times New Roman" w:cs="Times New Roman"/>
          <w:sz w:val="24"/>
          <w:szCs w:val="24"/>
          <w:lang w:eastAsia="cs-CZ"/>
        </w:rPr>
        <w:t xml:space="preserve"> – vzniká povinnému doručením vyrozumění o zahájení exekuce. Jedná se o zákaz nakládat s majetkem včetně nemovit</w:t>
      </w:r>
      <w:r w:rsidR="009A16A3">
        <w:rPr>
          <w:rFonts w:ascii="Times New Roman" w:eastAsia="Times New Roman" w:hAnsi="Times New Roman" w:cs="Times New Roman"/>
          <w:sz w:val="24"/>
          <w:szCs w:val="24"/>
          <w:lang w:eastAsia="cs-CZ"/>
        </w:rPr>
        <w:t>ých věcí</w:t>
      </w:r>
      <w:r w:rsidRPr="007848C3">
        <w:rPr>
          <w:rFonts w:ascii="Times New Roman" w:eastAsia="Times New Roman" w:hAnsi="Times New Roman" w:cs="Times New Roman"/>
          <w:sz w:val="24"/>
          <w:szCs w:val="24"/>
          <w:lang w:eastAsia="cs-CZ"/>
        </w:rPr>
        <w:t xml:space="preserve"> a majetku patřícího do společného jmění manželů, vyjma běžné obchodní a provozní činnosti, uspokojování základních životních potřeb svých a osob, ke kterým má povinný vyživovací povinnost, a udržování správy majetku. Právní úkon, kterým by povinný porušil tuto povinnost, je neplatný.</w:t>
      </w:r>
    </w:p>
    <w:p w:rsidR="007848C3" w:rsidRPr="007848C3" w:rsidRDefault="007848C3" w:rsidP="009A16A3">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b/>
          <w:bCs/>
          <w:sz w:val="24"/>
          <w:szCs w:val="24"/>
          <w:lang w:eastAsia="cs-CZ"/>
        </w:rPr>
        <w:t xml:space="preserve">Provádění exekuce </w:t>
      </w:r>
      <w:r w:rsidRPr="007848C3">
        <w:rPr>
          <w:rFonts w:ascii="Times New Roman" w:eastAsia="Times New Roman" w:hAnsi="Times New Roman" w:cs="Times New Roman"/>
          <w:sz w:val="24"/>
          <w:szCs w:val="24"/>
          <w:lang w:eastAsia="cs-CZ"/>
        </w:rPr>
        <w:t xml:space="preserve">– soudní exekutor po obdržení pověření započne s prováděním exekuce. V rámci provádění činí i bez návrhu úkony směřující k jejímu provedení, přičemž postupuje rychle a účelně až do úplného vymožení pohledávky. Je na rozhodnutí soudního exekutora, jakým způsobem bude exekuce provedena (viz </w:t>
      </w:r>
      <w:r w:rsidRPr="007848C3">
        <w:rPr>
          <w:rFonts w:ascii="Times New Roman" w:eastAsia="Times New Roman" w:hAnsi="Times New Roman" w:cs="Times New Roman"/>
          <w:b/>
          <w:bCs/>
          <w:sz w:val="24"/>
          <w:szCs w:val="24"/>
          <w:lang w:eastAsia="cs-CZ"/>
        </w:rPr>
        <w:t>způsoby provedení exekuce</w:t>
      </w:r>
      <w:r w:rsidRPr="007848C3">
        <w:rPr>
          <w:rFonts w:ascii="Times New Roman" w:eastAsia="Times New Roman" w:hAnsi="Times New Roman" w:cs="Times New Roman"/>
          <w:sz w:val="24"/>
          <w:szCs w:val="24"/>
          <w:lang w:eastAsia="cs-CZ"/>
        </w:rPr>
        <w:t xml:space="preserve"> </w:t>
      </w:r>
      <w:r w:rsidR="009A16A3">
        <w:rPr>
          <w:rFonts w:ascii="Times New Roman" w:eastAsia="Times New Roman" w:hAnsi="Times New Roman" w:cs="Times New Roman"/>
          <w:sz w:val="24"/>
          <w:szCs w:val="24"/>
          <w:lang w:eastAsia="cs-CZ"/>
        </w:rPr>
        <w:t>na předchozí straně</w:t>
      </w:r>
      <w:r w:rsidRPr="007848C3">
        <w:rPr>
          <w:rFonts w:ascii="Times New Roman" w:eastAsia="Times New Roman" w:hAnsi="Times New Roman" w:cs="Times New Roman"/>
          <w:sz w:val="24"/>
          <w:szCs w:val="24"/>
          <w:lang w:eastAsia="cs-CZ"/>
        </w:rPr>
        <w:t xml:space="preserve">). Hlavním nástrojem soudního exekutora při provádění exekuce je </w:t>
      </w:r>
      <w:r w:rsidRPr="007848C3">
        <w:rPr>
          <w:rFonts w:ascii="Times New Roman" w:eastAsia="Times New Roman" w:hAnsi="Times New Roman" w:cs="Times New Roman"/>
          <w:b/>
          <w:bCs/>
          <w:sz w:val="24"/>
          <w:szCs w:val="24"/>
          <w:lang w:eastAsia="cs-CZ"/>
        </w:rPr>
        <w:t>exekuční příkaz</w:t>
      </w:r>
      <w:r w:rsidRPr="007848C3">
        <w:rPr>
          <w:rFonts w:ascii="Times New Roman" w:eastAsia="Times New Roman" w:hAnsi="Times New Roman" w:cs="Times New Roman"/>
          <w:sz w:val="24"/>
          <w:szCs w:val="24"/>
          <w:lang w:eastAsia="cs-CZ"/>
        </w:rPr>
        <w:t>, kterým se rozumí příkaz k provedení exekuce některým ze způsobů uvedených v exekučním řádu. Při provádění exekuce může soudní exekutor žádat o součinnost třetí subjekty, které mají povinnost soudnímu exekutorovi sdělit údaje, které mohou napomoci k rychlému a účelnému uspokojení vymáhané pohledávky.</w:t>
      </w:r>
    </w:p>
    <w:p w:rsidR="007848C3" w:rsidRPr="007848C3" w:rsidRDefault="007848C3" w:rsidP="009A16A3">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b/>
          <w:bCs/>
          <w:sz w:val="24"/>
          <w:szCs w:val="24"/>
          <w:lang w:eastAsia="cs-CZ"/>
        </w:rPr>
        <w:t>Ukončení exekuce</w:t>
      </w:r>
      <w:r w:rsidRPr="007848C3">
        <w:rPr>
          <w:rFonts w:ascii="Times New Roman" w:eastAsia="Times New Roman" w:hAnsi="Times New Roman" w:cs="Times New Roman"/>
          <w:sz w:val="24"/>
          <w:szCs w:val="24"/>
          <w:lang w:eastAsia="cs-CZ"/>
        </w:rPr>
        <w:t xml:space="preserve"> – úplným vymožením pohledávky dochází k ukončení exekučního řízení a pověření soudního exekutora zaniká. O této skutečnosti soudní exekutor vyrozumí všechny orgány a osoby, které ve svých evidencích vedou poznámky o probíhající exekuci anebo kterým byla v exekuci uložena nějaká povinnost. Na žádost zašle soudní exekutor toto oznámení rovněž účastníkům řízení.</w:t>
      </w:r>
    </w:p>
    <w:p w:rsidR="007848C3" w:rsidRPr="007848C3" w:rsidRDefault="007848C3" w:rsidP="009A16A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t>Náklady exekuce</w:t>
      </w:r>
    </w:p>
    <w:p w:rsidR="007848C3" w:rsidRPr="007848C3" w:rsidRDefault="007848C3" w:rsidP="009A16A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xml:space="preserve">V rámci exekučního řízení je rovněž zapotřebí uhradit náhrady vzniklé v souvislosti s jeho vedením, a to včetně </w:t>
      </w:r>
      <w:r w:rsidR="009A16A3">
        <w:rPr>
          <w:rFonts w:ascii="Times New Roman" w:eastAsia="Times New Roman" w:hAnsi="Times New Roman" w:cs="Times New Roman"/>
          <w:sz w:val="24"/>
          <w:szCs w:val="24"/>
          <w:lang w:eastAsia="cs-CZ"/>
        </w:rPr>
        <w:t xml:space="preserve">příslušné sazby </w:t>
      </w:r>
      <w:r w:rsidRPr="007848C3">
        <w:rPr>
          <w:rFonts w:ascii="Times New Roman" w:eastAsia="Times New Roman" w:hAnsi="Times New Roman" w:cs="Times New Roman"/>
          <w:sz w:val="24"/>
          <w:szCs w:val="24"/>
          <w:lang w:eastAsia="cs-CZ"/>
        </w:rPr>
        <w:t>DPH</w:t>
      </w:r>
      <w:r w:rsidR="009A16A3">
        <w:rPr>
          <w:rFonts w:ascii="Times New Roman" w:eastAsia="Times New Roman" w:hAnsi="Times New Roman" w:cs="Times New Roman"/>
          <w:sz w:val="24"/>
          <w:szCs w:val="24"/>
          <w:lang w:eastAsia="cs-CZ"/>
        </w:rPr>
        <w:t>.</w:t>
      </w:r>
      <w:r w:rsidRPr="007848C3">
        <w:rPr>
          <w:rFonts w:ascii="Times New Roman" w:eastAsia="Times New Roman" w:hAnsi="Times New Roman" w:cs="Times New Roman"/>
          <w:sz w:val="24"/>
          <w:szCs w:val="24"/>
          <w:lang w:eastAsia="cs-CZ"/>
        </w:rPr>
        <w:t xml:space="preserve"> Tyto náklady sestávají z odměny soudního exekutora a účelně vynaložených hotových výdajů. Povinnost uhradit náklady exekuce je připsána povinnému. Oprávněný má právo na náhradu nákladů účelně vynaložených k vymáh</w:t>
      </w:r>
      <w:r w:rsidR="009A16A3">
        <w:rPr>
          <w:rFonts w:ascii="Times New Roman" w:eastAsia="Times New Roman" w:hAnsi="Times New Roman" w:cs="Times New Roman"/>
          <w:sz w:val="24"/>
          <w:szCs w:val="24"/>
          <w:lang w:eastAsia="cs-CZ"/>
        </w:rPr>
        <w:t>á</w:t>
      </w:r>
      <w:r w:rsidRPr="007848C3">
        <w:rPr>
          <w:rFonts w:ascii="Times New Roman" w:eastAsia="Times New Roman" w:hAnsi="Times New Roman" w:cs="Times New Roman"/>
          <w:sz w:val="24"/>
          <w:szCs w:val="24"/>
          <w:lang w:eastAsia="cs-CZ"/>
        </w:rPr>
        <w:t>ní nároku, přičemž tyto hradí oprávněnému povinný.</w:t>
      </w:r>
    </w:p>
    <w:p w:rsidR="007848C3" w:rsidRPr="007848C3" w:rsidRDefault="007848C3" w:rsidP="009A16A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xml:space="preserve">V případě neúspěšné exekuce (zastavení exekuce) hradí náklady exekuce a náklady ostatních účastníků </w:t>
      </w:r>
      <w:r w:rsidR="00E63681">
        <w:rPr>
          <w:rFonts w:ascii="Times New Roman" w:eastAsia="Times New Roman" w:hAnsi="Times New Roman" w:cs="Times New Roman"/>
          <w:sz w:val="24"/>
          <w:szCs w:val="24"/>
          <w:lang w:eastAsia="cs-CZ"/>
        </w:rPr>
        <w:t xml:space="preserve">zpravidla </w:t>
      </w:r>
      <w:r w:rsidRPr="007848C3">
        <w:rPr>
          <w:rFonts w:ascii="Times New Roman" w:eastAsia="Times New Roman" w:hAnsi="Times New Roman" w:cs="Times New Roman"/>
          <w:sz w:val="24"/>
          <w:szCs w:val="24"/>
          <w:lang w:eastAsia="cs-CZ"/>
        </w:rPr>
        <w:t>ten, který zastavení zavinil. V případě zastavení exekuce pro nemajetnost povinného hradí paušálně určené či účelně vynaložené výdaje exekutorovi oprávněný</w:t>
      </w:r>
      <w:r w:rsidR="00E63681">
        <w:rPr>
          <w:rFonts w:ascii="Times New Roman" w:eastAsia="Times New Roman" w:hAnsi="Times New Roman" w:cs="Times New Roman"/>
          <w:sz w:val="24"/>
          <w:szCs w:val="24"/>
          <w:lang w:eastAsia="cs-CZ"/>
        </w:rPr>
        <w:t>.</w:t>
      </w:r>
    </w:p>
    <w:p w:rsidR="007848C3" w:rsidRPr="007848C3" w:rsidRDefault="007848C3" w:rsidP="009A16A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t>Odměna soudního exekutora</w:t>
      </w:r>
    </w:p>
    <w:p w:rsidR="007848C3" w:rsidRPr="007848C3" w:rsidRDefault="007848C3" w:rsidP="009A16A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xml:space="preserve">Za exekuční činnost náleží soudnímu exekutorovi odměna podle vyhlášky Ministerstva spravedlnosti ČR č. 330/2001 Sb. (exekuční tarif). </w:t>
      </w:r>
    </w:p>
    <w:p w:rsidR="007848C3" w:rsidRPr="007848C3" w:rsidRDefault="007848C3" w:rsidP="009A16A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lastRenderedPageBreak/>
        <w:t>Peněžitá pohledávka</w:t>
      </w:r>
    </w:p>
    <w:p w:rsidR="007848C3" w:rsidRPr="007848C3" w:rsidRDefault="007848C3" w:rsidP="009A16A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Odměna za exekuci ukládající zaplacení peněžité částky činí:</w:t>
      </w:r>
    </w:p>
    <w:tbl>
      <w:tblPr>
        <w:tblW w:w="5915" w:type="dxa"/>
        <w:tblCellSpacing w:w="0" w:type="dxa"/>
        <w:tblCellMar>
          <w:top w:w="15" w:type="dxa"/>
          <w:left w:w="15" w:type="dxa"/>
          <w:bottom w:w="15" w:type="dxa"/>
          <w:right w:w="15" w:type="dxa"/>
        </w:tblCellMar>
        <w:tblLook w:val="04A0" w:firstRow="1" w:lastRow="0" w:firstColumn="1" w:lastColumn="0" w:noHBand="0" w:noVBand="1"/>
      </w:tblPr>
      <w:tblGrid>
        <w:gridCol w:w="5325"/>
        <w:gridCol w:w="552"/>
        <w:gridCol w:w="38"/>
      </w:tblGrid>
      <w:tr w:rsidR="00E63681" w:rsidRPr="007848C3" w:rsidTr="00E63681">
        <w:trPr>
          <w:tblCellSpacing w:w="0" w:type="dxa"/>
        </w:trPr>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do 3.000.000 Kč základu</w:t>
            </w:r>
          </w:p>
        </w:tc>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15 %</w:t>
            </w:r>
          </w:p>
        </w:tc>
        <w:tc>
          <w:tcPr>
            <w:tcW w:w="0" w:type="auto"/>
          </w:tcPr>
          <w:p w:rsidR="00E63681" w:rsidRPr="007848C3" w:rsidRDefault="00E63681" w:rsidP="009A16A3">
            <w:pPr>
              <w:rPr>
                <w:rFonts w:ascii="Times New Roman" w:eastAsia="Times New Roman" w:hAnsi="Times New Roman" w:cs="Times New Roman"/>
                <w:sz w:val="24"/>
                <w:szCs w:val="24"/>
                <w:lang w:eastAsia="cs-CZ"/>
              </w:rPr>
            </w:pPr>
          </w:p>
        </w:tc>
      </w:tr>
      <w:tr w:rsidR="00E63681" w:rsidRPr="007848C3" w:rsidTr="00E63681">
        <w:trPr>
          <w:tblCellSpacing w:w="0" w:type="dxa"/>
        </w:trPr>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z přebývající částky až do 40.000.000 Kč základu</w:t>
            </w:r>
          </w:p>
        </w:tc>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10 %</w:t>
            </w:r>
          </w:p>
        </w:tc>
        <w:tc>
          <w:tcPr>
            <w:tcW w:w="0" w:type="auto"/>
          </w:tcPr>
          <w:p w:rsidR="00E63681" w:rsidRPr="007848C3" w:rsidRDefault="00E63681" w:rsidP="009A16A3">
            <w:pPr>
              <w:rPr>
                <w:rFonts w:ascii="Times New Roman" w:eastAsia="Times New Roman" w:hAnsi="Times New Roman" w:cs="Times New Roman"/>
                <w:sz w:val="24"/>
                <w:szCs w:val="24"/>
                <w:lang w:eastAsia="cs-CZ"/>
              </w:rPr>
            </w:pPr>
          </w:p>
        </w:tc>
      </w:tr>
      <w:tr w:rsidR="00E63681" w:rsidRPr="007848C3" w:rsidTr="00E63681">
        <w:trPr>
          <w:tblCellSpacing w:w="0" w:type="dxa"/>
        </w:trPr>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z přebývající částky až do 50.000.000 Kč základu</w:t>
            </w:r>
          </w:p>
        </w:tc>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5 %</w:t>
            </w:r>
          </w:p>
        </w:tc>
        <w:tc>
          <w:tcPr>
            <w:tcW w:w="0" w:type="auto"/>
          </w:tcPr>
          <w:p w:rsidR="00E63681" w:rsidRPr="007848C3" w:rsidRDefault="00E63681" w:rsidP="009A16A3">
            <w:pPr>
              <w:rPr>
                <w:rFonts w:ascii="Times New Roman" w:eastAsia="Times New Roman" w:hAnsi="Times New Roman" w:cs="Times New Roman"/>
                <w:sz w:val="24"/>
                <w:szCs w:val="24"/>
                <w:lang w:eastAsia="cs-CZ"/>
              </w:rPr>
            </w:pPr>
          </w:p>
        </w:tc>
      </w:tr>
      <w:tr w:rsidR="00E63681" w:rsidRPr="007848C3" w:rsidTr="00E63681">
        <w:trPr>
          <w:tblCellSpacing w:w="0" w:type="dxa"/>
        </w:trPr>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z přebývající částky až do 250.000.000 Kč základu</w:t>
            </w:r>
          </w:p>
        </w:tc>
        <w:tc>
          <w:tcPr>
            <w:tcW w:w="0" w:type="auto"/>
            <w:vAlign w:val="center"/>
            <w:hideMark/>
          </w:tcPr>
          <w:p w:rsidR="00E63681" w:rsidRPr="007848C3" w:rsidRDefault="00E63681" w:rsidP="009A16A3">
            <w:pPr>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1 %</w:t>
            </w:r>
          </w:p>
        </w:tc>
        <w:tc>
          <w:tcPr>
            <w:tcW w:w="0" w:type="auto"/>
          </w:tcPr>
          <w:p w:rsidR="00E63681" w:rsidRPr="007848C3" w:rsidRDefault="00E63681" w:rsidP="009A16A3">
            <w:pPr>
              <w:rPr>
                <w:rFonts w:ascii="Times New Roman" w:eastAsia="Times New Roman" w:hAnsi="Times New Roman" w:cs="Times New Roman"/>
                <w:sz w:val="24"/>
                <w:szCs w:val="24"/>
                <w:lang w:eastAsia="cs-CZ"/>
              </w:rPr>
            </w:pPr>
          </w:p>
        </w:tc>
      </w:tr>
    </w:tbl>
    <w:p w:rsidR="007848C3" w:rsidRDefault="007848C3" w:rsidP="009A16A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 xml:space="preserve">Částka nad 250.000.000 Kč se do základu nezapočítává. Odměna však musí činit nejméně </w:t>
      </w:r>
      <w:r>
        <w:rPr>
          <w:rFonts w:ascii="Times New Roman" w:eastAsia="Times New Roman" w:hAnsi="Times New Roman" w:cs="Times New Roman"/>
          <w:sz w:val="24"/>
          <w:szCs w:val="24"/>
          <w:lang w:eastAsia="cs-CZ"/>
        </w:rPr>
        <w:t>2</w:t>
      </w:r>
      <w:r w:rsidRPr="007848C3">
        <w:rPr>
          <w:rFonts w:ascii="Times New Roman" w:eastAsia="Times New Roman" w:hAnsi="Times New Roman" w:cs="Times New Roman"/>
          <w:sz w:val="24"/>
          <w:szCs w:val="24"/>
          <w:lang w:eastAsia="cs-CZ"/>
        </w:rPr>
        <w:t>.000 Kč.</w:t>
      </w:r>
    </w:p>
    <w:p w:rsidR="00E63681" w:rsidRPr="007848C3" w:rsidRDefault="00E63681" w:rsidP="009A16A3">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je vedena exekuce s nárokem na opětující se plnění na dobu neurčitou (např. běžné výživné), je základem pro výpočet odměny </w:t>
      </w:r>
      <w:r w:rsidR="00634079">
        <w:rPr>
          <w:rFonts w:ascii="Times New Roman" w:eastAsia="Times New Roman" w:hAnsi="Times New Roman" w:cs="Times New Roman"/>
          <w:sz w:val="24"/>
          <w:szCs w:val="24"/>
          <w:lang w:eastAsia="cs-CZ"/>
        </w:rPr>
        <w:t>pětinásobek hodnoty ročního plnění.</w:t>
      </w:r>
      <w:bookmarkStart w:id="0" w:name="_GoBack"/>
      <w:bookmarkEnd w:id="0"/>
    </w:p>
    <w:p w:rsidR="007848C3" w:rsidRPr="007848C3" w:rsidRDefault="007848C3" w:rsidP="009A16A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t>Nepeněžitá pohledávka</w:t>
      </w:r>
    </w:p>
    <w:p w:rsidR="007848C3" w:rsidRPr="007848C3" w:rsidRDefault="007848C3" w:rsidP="009A16A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 případě nepeněžité pohledávky je odměna určena v závislosti na jejím typu následovně:</w:t>
      </w:r>
    </w:p>
    <w:p w:rsidR="007848C3" w:rsidRPr="007848C3" w:rsidRDefault="007848C3" w:rsidP="009A16A3">
      <w:pPr>
        <w:numPr>
          <w:ilvl w:val="0"/>
          <w:numId w:val="4"/>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Odměna exekutora činí 10.000 Kč za každou vyklizenou nemovitost, stavbu, byt nebo místnost.</w:t>
      </w:r>
    </w:p>
    <w:p w:rsidR="007848C3" w:rsidRPr="007848C3" w:rsidRDefault="007848C3" w:rsidP="009A16A3">
      <w:pPr>
        <w:numPr>
          <w:ilvl w:val="0"/>
          <w:numId w:val="4"/>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Odměna exekutora za exekuci odebráním věci činí za každou odebranou věc nebo soubor věcí 15 % z jejich hodnoty, nejméně však 2.000 Kč.</w:t>
      </w:r>
    </w:p>
    <w:p w:rsidR="007848C3" w:rsidRPr="007848C3" w:rsidRDefault="007848C3" w:rsidP="009A16A3">
      <w:pPr>
        <w:numPr>
          <w:ilvl w:val="0"/>
          <w:numId w:val="4"/>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Výše odměny exekutora za exekuci rozdělením společné věci v případě, kdy společná věc má být prodána a její výtěžek rozdělen mezi spoluvlastníky, se vypočte podle § 6 exekučního tarifu. Základem pro určení výše odměny je výtěžek prodeje věci. Odměna exekutora za exekuci rozdělením společné věci v případě, kdy společná věc má být rozdělena jinak než prodejem, činí 6.000 Kč za každou rozdělovanou věc.</w:t>
      </w:r>
    </w:p>
    <w:p w:rsidR="007848C3" w:rsidRPr="007848C3" w:rsidRDefault="007848C3" w:rsidP="009A16A3">
      <w:pPr>
        <w:numPr>
          <w:ilvl w:val="0"/>
          <w:numId w:val="4"/>
        </w:num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Odměna exekutora činí 6.000 Kč za každý vykonaný exekuční titul, který ukládá provedení prací a výkonů.</w:t>
      </w:r>
    </w:p>
    <w:p w:rsidR="007848C3" w:rsidRPr="007848C3" w:rsidRDefault="007848C3" w:rsidP="009A16A3">
      <w:pPr>
        <w:spacing w:before="100" w:beforeAutospacing="1" w:after="100" w:afterAutospacing="1"/>
        <w:outlineLvl w:val="1"/>
        <w:rPr>
          <w:rFonts w:ascii="Times New Roman" w:eastAsia="Times New Roman" w:hAnsi="Times New Roman" w:cs="Times New Roman"/>
          <w:b/>
          <w:bCs/>
          <w:sz w:val="36"/>
          <w:szCs w:val="36"/>
          <w:lang w:eastAsia="cs-CZ"/>
        </w:rPr>
      </w:pPr>
      <w:r w:rsidRPr="007848C3">
        <w:rPr>
          <w:rFonts w:ascii="Times New Roman" w:eastAsia="Times New Roman" w:hAnsi="Times New Roman" w:cs="Times New Roman"/>
          <w:b/>
          <w:bCs/>
          <w:sz w:val="36"/>
          <w:szCs w:val="36"/>
          <w:lang w:eastAsia="cs-CZ"/>
        </w:rPr>
        <w:t>Náhrada hotových výdajů</w:t>
      </w:r>
    </w:p>
    <w:p w:rsidR="007848C3" w:rsidRPr="007848C3" w:rsidRDefault="007848C3" w:rsidP="009A16A3">
      <w:pPr>
        <w:spacing w:before="100" w:beforeAutospacing="1" w:after="100" w:afterAutospacing="1"/>
        <w:rPr>
          <w:rFonts w:ascii="Times New Roman" w:eastAsia="Times New Roman" w:hAnsi="Times New Roman" w:cs="Times New Roman"/>
          <w:sz w:val="24"/>
          <w:szCs w:val="24"/>
          <w:lang w:eastAsia="cs-CZ"/>
        </w:rPr>
      </w:pPr>
      <w:r w:rsidRPr="007848C3">
        <w:rPr>
          <w:rFonts w:ascii="Times New Roman" w:eastAsia="Times New Roman" w:hAnsi="Times New Roman" w:cs="Times New Roman"/>
          <w:sz w:val="24"/>
          <w:szCs w:val="24"/>
          <w:lang w:eastAsia="cs-CZ"/>
        </w:rPr>
        <w:t>Soudnímu exekutorovi náleží v souvislosti s exekučním řízení náhrada hotových výdajů tak, jak je uvedeno ve vyhlášce Ministerstva spravedlnosti ČR č. 330/2001 Sb. (exekuční tarif). Náhrada nákladů je stanovena paušální částkou ve výši 3.500 Kč. V případě, že účelně vynaložené výdaje převýší tuto paušální částku, náleží soudnímu exekutorovi náhrada za všechny účelně vynaložené výdaje v plné výši.</w:t>
      </w:r>
    </w:p>
    <w:p w:rsidR="00541167" w:rsidRDefault="00541167" w:rsidP="009A16A3"/>
    <w:sectPr w:rsidR="00541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836BE"/>
    <w:multiLevelType w:val="multilevel"/>
    <w:tmpl w:val="B388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02DC7"/>
    <w:multiLevelType w:val="multilevel"/>
    <w:tmpl w:val="E1D8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03B94"/>
    <w:multiLevelType w:val="multilevel"/>
    <w:tmpl w:val="9840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851C6"/>
    <w:multiLevelType w:val="multilevel"/>
    <w:tmpl w:val="CF767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C3"/>
    <w:rsid w:val="00382F2B"/>
    <w:rsid w:val="00541167"/>
    <w:rsid w:val="00634079"/>
    <w:rsid w:val="007848C3"/>
    <w:rsid w:val="009A16A3"/>
    <w:rsid w:val="00E63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8DFE-8778-4371-83F7-69FD3B58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848C3"/>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848C3"/>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48C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848C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848C3"/>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84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7403">
      <w:bodyDiv w:val="1"/>
      <w:marLeft w:val="0"/>
      <w:marRight w:val="0"/>
      <w:marTop w:val="0"/>
      <w:marBottom w:val="0"/>
      <w:divBdr>
        <w:top w:val="none" w:sz="0" w:space="0" w:color="auto"/>
        <w:left w:val="none" w:sz="0" w:space="0" w:color="auto"/>
        <w:bottom w:val="none" w:sz="0" w:space="0" w:color="auto"/>
        <w:right w:val="none" w:sz="0" w:space="0" w:color="auto"/>
      </w:divBdr>
      <w:divsChild>
        <w:div w:id="802700360">
          <w:marLeft w:val="0"/>
          <w:marRight w:val="0"/>
          <w:marTop w:val="0"/>
          <w:marBottom w:val="0"/>
          <w:divBdr>
            <w:top w:val="none" w:sz="0" w:space="0" w:color="auto"/>
            <w:left w:val="none" w:sz="0" w:space="0" w:color="auto"/>
            <w:bottom w:val="none" w:sz="0" w:space="0" w:color="auto"/>
            <w:right w:val="none" w:sz="0" w:space="0" w:color="auto"/>
          </w:divBdr>
          <w:divsChild>
            <w:div w:id="350034934">
              <w:marLeft w:val="0"/>
              <w:marRight w:val="0"/>
              <w:marTop w:val="0"/>
              <w:marBottom w:val="0"/>
              <w:divBdr>
                <w:top w:val="none" w:sz="0" w:space="0" w:color="auto"/>
                <w:left w:val="none" w:sz="0" w:space="0" w:color="auto"/>
                <w:bottom w:val="none" w:sz="0" w:space="0" w:color="auto"/>
                <w:right w:val="none" w:sz="0" w:space="0" w:color="auto"/>
              </w:divBdr>
              <w:divsChild>
                <w:div w:id="1149178305">
                  <w:marLeft w:val="0"/>
                  <w:marRight w:val="0"/>
                  <w:marTop w:val="0"/>
                  <w:marBottom w:val="0"/>
                  <w:divBdr>
                    <w:top w:val="none" w:sz="0" w:space="0" w:color="auto"/>
                    <w:left w:val="none" w:sz="0" w:space="0" w:color="auto"/>
                    <w:bottom w:val="none" w:sz="0" w:space="0" w:color="auto"/>
                    <w:right w:val="none" w:sz="0" w:space="0" w:color="auto"/>
                  </w:divBdr>
                  <w:divsChild>
                    <w:div w:id="1777947282">
                      <w:marLeft w:val="0"/>
                      <w:marRight w:val="0"/>
                      <w:marTop w:val="0"/>
                      <w:marBottom w:val="0"/>
                      <w:divBdr>
                        <w:top w:val="none" w:sz="0" w:space="0" w:color="auto"/>
                        <w:left w:val="none" w:sz="0" w:space="0" w:color="auto"/>
                        <w:bottom w:val="none" w:sz="0" w:space="0" w:color="auto"/>
                        <w:right w:val="none" w:sz="0" w:space="0" w:color="auto"/>
                      </w:divBdr>
                      <w:divsChild>
                        <w:div w:id="107896598">
                          <w:marLeft w:val="0"/>
                          <w:marRight w:val="0"/>
                          <w:marTop w:val="0"/>
                          <w:marBottom w:val="0"/>
                          <w:divBdr>
                            <w:top w:val="none" w:sz="0" w:space="0" w:color="auto"/>
                            <w:left w:val="none" w:sz="0" w:space="0" w:color="auto"/>
                            <w:bottom w:val="none" w:sz="0" w:space="0" w:color="auto"/>
                            <w:right w:val="none" w:sz="0" w:space="0" w:color="auto"/>
                          </w:divBdr>
                          <w:divsChild>
                            <w:div w:id="1686513183">
                              <w:marLeft w:val="0"/>
                              <w:marRight w:val="0"/>
                              <w:marTop w:val="0"/>
                              <w:marBottom w:val="0"/>
                              <w:divBdr>
                                <w:top w:val="none" w:sz="0" w:space="0" w:color="auto"/>
                                <w:left w:val="none" w:sz="0" w:space="0" w:color="auto"/>
                                <w:bottom w:val="none" w:sz="0" w:space="0" w:color="auto"/>
                                <w:right w:val="none" w:sz="0" w:space="0" w:color="auto"/>
                              </w:divBdr>
                              <w:divsChild>
                                <w:div w:id="1040789483">
                                  <w:marLeft w:val="0"/>
                                  <w:marRight w:val="0"/>
                                  <w:marTop w:val="0"/>
                                  <w:marBottom w:val="0"/>
                                  <w:divBdr>
                                    <w:top w:val="none" w:sz="0" w:space="0" w:color="auto"/>
                                    <w:left w:val="none" w:sz="0" w:space="0" w:color="auto"/>
                                    <w:bottom w:val="none" w:sz="0" w:space="0" w:color="auto"/>
                                    <w:right w:val="none" w:sz="0" w:space="0" w:color="auto"/>
                                  </w:divBdr>
                                  <w:divsChild>
                                    <w:div w:id="2129544849">
                                      <w:marLeft w:val="0"/>
                                      <w:marRight w:val="0"/>
                                      <w:marTop w:val="0"/>
                                      <w:marBottom w:val="0"/>
                                      <w:divBdr>
                                        <w:top w:val="none" w:sz="0" w:space="0" w:color="auto"/>
                                        <w:left w:val="none" w:sz="0" w:space="0" w:color="auto"/>
                                        <w:bottom w:val="none" w:sz="0" w:space="0" w:color="auto"/>
                                        <w:right w:val="none" w:sz="0" w:space="0" w:color="auto"/>
                                      </w:divBdr>
                                      <w:divsChild>
                                        <w:div w:id="8596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993</Words>
  <Characters>5865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Oldřich</dc:creator>
  <cp:keywords/>
  <dc:description/>
  <cp:lastModifiedBy>Janda Oldřich</cp:lastModifiedBy>
  <cp:revision>2</cp:revision>
  <dcterms:created xsi:type="dcterms:W3CDTF">2019-08-20T13:09:00Z</dcterms:created>
  <dcterms:modified xsi:type="dcterms:W3CDTF">2019-08-20T14:16:00Z</dcterms:modified>
</cp:coreProperties>
</file>